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South Texas Presbytery Bitcoin Study Committee Proposal</w:t>
      </w:r>
    </w:p>
    <w:p w:rsidR="00000000" w:rsidDel="00000000" w:rsidP="00000000" w:rsidRDefault="00000000" w:rsidRPr="00000000" w14:paraId="00000002">
      <w:pPr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“To Study Incorporating Bitcoin as a Savings Vehicle for Church &amp; Presbytery Balance Sheets”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the Presbyterian Church in America (PCA) seeks to exercise faithful stewardship over the resources entrusted to her care, applying biblical principles of prudence, integrity, and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accountability, so that the ministries of the Church may be sustained and the work of the Gospel advanced (WLC 141; cf. BCO 8-3; 8-4); and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Sessions and Presbyteries bear responsibility for prudent financial oversight, seeking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preserve and wisely employ the financial assets under their stewardship as an expression of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obedience to the eighth commandment’s duties of diligence and faithful increase (WLC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141–142); and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changing economic conditions, including inflationary pressures, currency fluctuations,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market volatility, encourage thoughtful consideration of diversified asset allocations that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 help maintain or enhance the Church’s long-term financial stability; and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Bitcoin—an innovative, decentralized digital asset—has emerged as a globally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recognized store of value and medium of exchange, operating independently from traditional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banking systems, thereby offering opportunities to diversify holdings beyond reliance on any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single national currency; and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Bitcoin’s underlying blockchain technology, characterized by transparency and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verifiability, may offer benefits such as reduced transaction costs, enhanced financial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accountability, and potentially increased donor confidence in the stewardship of Church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resources; and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an increasing number and variety of organizations and individuals have adopted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Bitcoin as part of their financial strategies, citing its resilience in economic downturns and its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capacity to hedge against certain systemic risks; and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Whereas the pursuit of wise stewardship requires careful study and discernment, so that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decisions regarding financial assets—whether conventional or innovative—are informed by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Scripture, the Reformed confessional standards, and a thorough understanding of potential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risks, benefits, and long-term implications;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Therefore be it resolved</w:t>
      </w:r>
      <w:r w:rsidDel="00000000" w:rsidR="00000000" w:rsidRPr="00000000">
        <w:rPr>
          <w:sz w:val="24"/>
          <w:szCs w:val="24"/>
          <w:rtl w:val="0"/>
        </w:rPr>
        <w:t xml:space="preserve"> that South Texas Presbytery form a study committee to consider the economic wisdom, biblical stewardship implications, financial prudence, logistical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mechanics, and potential benefits and risks of incorporating Bitcoin into church balance sheets.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